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4549" w14:textId="721DDF35" w:rsidR="008777B8" w:rsidRDefault="00C06E16" w:rsidP="00C07434">
      <w:pPr>
        <w:jc w:val="center"/>
        <w:rPr>
          <w:b/>
          <w:bCs/>
          <w:sz w:val="28"/>
          <w:szCs w:val="28"/>
        </w:rPr>
      </w:pPr>
      <w:r w:rsidRPr="00731D05">
        <w:rPr>
          <w:b/>
          <w:bCs/>
          <w:sz w:val="28"/>
          <w:szCs w:val="28"/>
          <w:highlight w:val="yellow"/>
        </w:rPr>
        <w:t>Teaching Elders / Ruling Elders as Commissioners to General Assembly</w:t>
      </w:r>
    </w:p>
    <w:p w14:paraId="645482B7" w14:textId="7BE9189B" w:rsidR="00C06E16" w:rsidRPr="00731D05" w:rsidRDefault="00C06E16" w:rsidP="00B60410">
      <w:pPr>
        <w:spacing w:after="0" w:line="240" w:lineRule="auto"/>
        <w:rPr>
          <w:sz w:val="28"/>
          <w:szCs w:val="28"/>
        </w:rPr>
      </w:pPr>
      <w:r w:rsidRPr="00B60410">
        <w:rPr>
          <w:sz w:val="28"/>
          <w:szCs w:val="28"/>
          <w:u w:val="single"/>
        </w:rPr>
        <w:t>Teaching Elders</w:t>
      </w:r>
      <w:r w:rsidRPr="00731D05">
        <w:rPr>
          <w:sz w:val="28"/>
          <w:szCs w:val="28"/>
        </w:rPr>
        <w:t>:</w:t>
      </w:r>
    </w:p>
    <w:p w14:paraId="1EE3D14F" w14:textId="01C1BFED" w:rsidR="00C06E16" w:rsidRPr="0098679E" w:rsidRDefault="00C06E16" w:rsidP="00B60410">
      <w:pPr>
        <w:pStyle w:val="ListParagraph"/>
        <w:numPr>
          <w:ilvl w:val="0"/>
          <w:numId w:val="1"/>
        </w:numPr>
        <w:spacing w:after="0" w:line="240" w:lineRule="auto"/>
        <w:rPr>
          <w:sz w:val="22"/>
          <w:szCs w:val="22"/>
        </w:rPr>
      </w:pPr>
      <w:r>
        <w:t>Voting Commissioners</w:t>
      </w:r>
      <w:r w:rsidR="004A519E">
        <w:t xml:space="preserve">  </w:t>
      </w:r>
      <w:r w:rsidR="0098679E">
        <w:rPr>
          <w:i/>
          <w:iCs/>
          <w:color w:val="EE0000"/>
        </w:rPr>
        <w:t>(</w:t>
      </w:r>
      <w:r w:rsidR="004A519E" w:rsidRPr="0098679E">
        <w:rPr>
          <w:i/>
          <w:iCs/>
          <w:color w:val="EE0000"/>
          <w:sz w:val="22"/>
          <w:szCs w:val="22"/>
        </w:rPr>
        <w:t>these TE’s have voice and vote</w:t>
      </w:r>
      <w:r w:rsidR="0098679E">
        <w:rPr>
          <w:i/>
          <w:iCs/>
          <w:color w:val="EE0000"/>
          <w:sz w:val="22"/>
          <w:szCs w:val="22"/>
        </w:rPr>
        <w:t>)</w:t>
      </w:r>
    </w:p>
    <w:p w14:paraId="7F7BB5C3" w14:textId="3C7A0AF3" w:rsidR="00C06E16" w:rsidRDefault="00C06E16" w:rsidP="00B60410">
      <w:pPr>
        <w:pStyle w:val="ListParagraph"/>
        <w:numPr>
          <w:ilvl w:val="1"/>
          <w:numId w:val="1"/>
        </w:numPr>
        <w:spacing w:after="0" w:line="240" w:lineRule="auto"/>
      </w:pPr>
      <w:r>
        <w:t>Active Roll of Presbytery   (G.19-2A.1)</w:t>
      </w:r>
    </w:p>
    <w:p w14:paraId="0245B913" w14:textId="3DD4344B" w:rsidR="00C06E16" w:rsidRPr="00C06E16" w:rsidRDefault="00C06E16" w:rsidP="00B60410">
      <w:pPr>
        <w:pStyle w:val="ListParagraph"/>
        <w:numPr>
          <w:ilvl w:val="2"/>
          <w:numId w:val="1"/>
        </w:numPr>
        <w:spacing w:after="0" w:line="240" w:lineRule="auto"/>
        <w:rPr>
          <w:sz w:val="22"/>
          <w:szCs w:val="22"/>
        </w:rPr>
      </w:pPr>
      <w:r w:rsidRPr="00C06E16">
        <w:rPr>
          <w:i/>
          <w:iCs/>
          <w:sz w:val="22"/>
          <w:szCs w:val="22"/>
        </w:rPr>
        <w:t>Those with an active approved call or actively seeking a call</w:t>
      </w:r>
    </w:p>
    <w:p w14:paraId="7D475D78" w14:textId="027176EB" w:rsidR="00C06E16" w:rsidRDefault="00C06E16" w:rsidP="00B60410">
      <w:pPr>
        <w:pStyle w:val="ListParagraph"/>
        <w:numPr>
          <w:ilvl w:val="1"/>
          <w:numId w:val="1"/>
        </w:numPr>
        <w:spacing w:after="0" w:line="240" w:lineRule="auto"/>
      </w:pPr>
      <w:r>
        <w:t xml:space="preserve">Retired </w:t>
      </w:r>
      <w:r w:rsidR="004E306D">
        <w:t xml:space="preserve">Active </w:t>
      </w:r>
      <w:r>
        <w:t>Roll of Presbytery (G.19-2A.2)</w:t>
      </w:r>
    </w:p>
    <w:p w14:paraId="56A43038" w14:textId="6498E4AE" w:rsidR="00C06E16" w:rsidRPr="00144ACA" w:rsidRDefault="00C06E16" w:rsidP="00B60410">
      <w:pPr>
        <w:pStyle w:val="ListParagraph"/>
        <w:numPr>
          <w:ilvl w:val="2"/>
          <w:numId w:val="1"/>
        </w:numPr>
        <w:spacing w:after="0" w:line="240" w:lineRule="auto"/>
      </w:pPr>
      <w:r>
        <w:rPr>
          <w:i/>
          <w:iCs/>
          <w:sz w:val="22"/>
          <w:szCs w:val="22"/>
        </w:rPr>
        <w:t>Status as per G.15-2A) -retired b</w:t>
      </w:r>
      <w:r w:rsidR="004A519E">
        <w:rPr>
          <w:i/>
          <w:iCs/>
          <w:sz w:val="22"/>
          <w:szCs w:val="22"/>
        </w:rPr>
        <w:t>ut</w:t>
      </w:r>
      <w:r>
        <w:rPr>
          <w:i/>
          <w:iCs/>
          <w:sz w:val="22"/>
          <w:szCs w:val="22"/>
        </w:rPr>
        <w:t xml:space="preserve"> remain on presbytery active rolls according to provisions of G.15-1</w:t>
      </w:r>
      <w:r w:rsidR="004A519E">
        <w:rPr>
          <w:i/>
          <w:iCs/>
          <w:sz w:val="22"/>
          <w:szCs w:val="22"/>
        </w:rPr>
        <w:t>and G.14-1D)</w:t>
      </w:r>
    </w:p>
    <w:p w14:paraId="380ACDF9" w14:textId="20C882BE" w:rsidR="00144ACA" w:rsidRPr="00144ACA" w:rsidRDefault="00144ACA" w:rsidP="00B60410">
      <w:pPr>
        <w:pStyle w:val="ListParagraph"/>
        <w:numPr>
          <w:ilvl w:val="2"/>
          <w:numId w:val="1"/>
        </w:numPr>
        <w:spacing w:after="0" w:line="240" w:lineRule="auto"/>
        <w:rPr>
          <w:color w:val="EE0000"/>
        </w:rPr>
      </w:pPr>
      <w:r>
        <w:rPr>
          <w:i/>
          <w:iCs/>
          <w:color w:val="EE0000"/>
          <w:sz w:val="22"/>
          <w:szCs w:val="22"/>
        </w:rPr>
        <w:t>*Wi</w:t>
      </w:r>
      <w:r w:rsidRPr="00144ACA">
        <w:rPr>
          <w:i/>
          <w:iCs/>
          <w:color w:val="EE0000"/>
          <w:sz w:val="22"/>
          <w:szCs w:val="22"/>
        </w:rPr>
        <w:t xml:space="preserve">thout an </w:t>
      </w:r>
      <w:r w:rsidRPr="00144ACA">
        <w:rPr>
          <w:b/>
          <w:bCs/>
          <w:i/>
          <w:iCs/>
          <w:color w:val="EE0000"/>
          <w:sz w:val="22"/>
          <w:szCs w:val="22"/>
        </w:rPr>
        <w:t>approved call</w:t>
      </w:r>
      <w:r w:rsidRPr="00144ACA">
        <w:rPr>
          <w:i/>
          <w:iCs/>
          <w:color w:val="EE0000"/>
          <w:sz w:val="22"/>
          <w:szCs w:val="22"/>
        </w:rPr>
        <w:t xml:space="preserve"> of presbytery this only has a </w:t>
      </w:r>
      <w:r w:rsidRPr="00144ACA">
        <w:rPr>
          <w:b/>
          <w:bCs/>
          <w:i/>
          <w:iCs/>
          <w:color w:val="EE0000"/>
          <w:sz w:val="22"/>
          <w:szCs w:val="22"/>
        </w:rPr>
        <w:t>2 year</w:t>
      </w:r>
      <w:r w:rsidRPr="00144ACA">
        <w:rPr>
          <w:i/>
          <w:iCs/>
          <w:color w:val="EE0000"/>
          <w:sz w:val="22"/>
          <w:szCs w:val="22"/>
        </w:rPr>
        <w:t xml:space="preserve"> duration as per G.19-2B.1a</w:t>
      </w:r>
      <w:r>
        <w:rPr>
          <w:i/>
          <w:iCs/>
          <w:color w:val="EE0000"/>
          <w:sz w:val="22"/>
          <w:szCs w:val="22"/>
        </w:rPr>
        <w:t xml:space="preserve"> </w:t>
      </w:r>
    </w:p>
    <w:p w14:paraId="3DACD6D5" w14:textId="31AF9599" w:rsidR="00144ACA" w:rsidRPr="00144ACA" w:rsidRDefault="00144ACA" w:rsidP="00144ACA">
      <w:pPr>
        <w:pStyle w:val="ListParagraph"/>
        <w:ind w:left="2880"/>
        <w:rPr>
          <w:color w:val="4C94D8" w:themeColor="text2" w:themeTint="80"/>
        </w:rPr>
      </w:pPr>
      <w:r w:rsidRPr="00144ACA">
        <w:rPr>
          <w:i/>
          <w:iCs/>
          <w:color w:val="4C94D8" w:themeColor="text2" w:themeTint="80"/>
          <w:sz w:val="22"/>
          <w:szCs w:val="22"/>
        </w:rPr>
        <w:t xml:space="preserve">“…or those without a Presbytery-approved call for two years will </w:t>
      </w:r>
      <w:r w:rsidRPr="00144ACA">
        <w:rPr>
          <w:b/>
          <w:bCs/>
          <w:i/>
          <w:iCs/>
          <w:color w:val="4C94D8" w:themeColor="text2" w:themeTint="80"/>
          <w:sz w:val="22"/>
          <w:szCs w:val="22"/>
        </w:rPr>
        <w:t>automatically</w:t>
      </w:r>
      <w:r w:rsidRPr="00144ACA">
        <w:rPr>
          <w:i/>
          <w:iCs/>
          <w:color w:val="4C94D8" w:themeColor="text2" w:themeTint="80"/>
          <w:sz w:val="22"/>
          <w:szCs w:val="22"/>
        </w:rPr>
        <w:t xml:space="preserve"> be place on the Associate Members roll, Presbytery by a 2/3 majority vote may exempt a minister from becoming an Associate Member for one year. The exemption may be granted to the minister on an annual basis.”</w:t>
      </w:r>
    </w:p>
    <w:p w14:paraId="12798DFB" w14:textId="77777777" w:rsidR="0098679E" w:rsidRPr="00B60410" w:rsidRDefault="0098679E" w:rsidP="0098679E">
      <w:pPr>
        <w:pStyle w:val="ListParagraph"/>
        <w:ind w:left="2160"/>
        <w:rPr>
          <w:sz w:val="16"/>
          <w:szCs w:val="16"/>
        </w:rPr>
      </w:pPr>
    </w:p>
    <w:p w14:paraId="6D070F8D" w14:textId="46FA9287" w:rsidR="00C06E16" w:rsidRPr="00445A80" w:rsidRDefault="00C06E16" w:rsidP="00B60410">
      <w:pPr>
        <w:pStyle w:val="ListParagraph"/>
        <w:numPr>
          <w:ilvl w:val="0"/>
          <w:numId w:val="1"/>
        </w:numPr>
        <w:spacing w:after="0" w:line="240" w:lineRule="auto"/>
      </w:pPr>
      <w:r>
        <w:t>Non-Voting Commissioners</w:t>
      </w:r>
      <w:r w:rsidR="0098679E">
        <w:t xml:space="preserve"> </w:t>
      </w:r>
      <w:r w:rsidR="0098679E">
        <w:rPr>
          <w:i/>
          <w:iCs/>
          <w:color w:val="EE0000"/>
          <w:sz w:val="22"/>
          <w:szCs w:val="22"/>
        </w:rPr>
        <w:t xml:space="preserve">(these TE’s have voice, vote and can make motions in committee,  but only voice on the floor of the General Assembly (can not make motions or vote)  </w:t>
      </w:r>
    </w:p>
    <w:p w14:paraId="002D8D12" w14:textId="0195E432" w:rsidR="009376D8" w:rsidRDefault="00445A80" w:rsidP="00B60410">
      <w:pPr>
        <w:pStyle w:val="ListParagraph"/>
        <w:numPr>
          <w:ilvl w:val="1"/>
          <w:numId w:val="1"/>
        </w:numPr>
        <w:spacing w:after="0" w:line="240" w:lineRule="auto"/>
      </w:pPr>
      <w:r w:rsidRPr="00445A80">
        <w:t>Associate Members</w:t>
      </w:r>
      <w:r>
        <w:t xml:space="preserve"> </w:t>
      </w:r>
      <w:r w:rsidR="004E306D">
        <w:t>(Retired and</w:t>
      </w:r>
      <w:r w:rsidR="00BB5160">
        <w:t xml:space="preserve"> </w:t>
      </w:r>
      <w:r w:rsidR="004E306D">
        <w:t xml:space="preserve">Not Retired) </w:t>
      </w:r>
    </w:p>
    <w:p w14:paraId="6377F7B6" w14:textId="100E579B" w:rsidR="009376D8" w:rsidRDefault="00445A80" w:rsidP="00B60410">
      <w:pPr>
        <w:pStyle w:val="ListParagraph"/>
        <w:numPr>
          <w:ilvl w:val="2"/>
          <w:numId w:val="1"/>
        </w:numPr>
        <w:spacing w:after="0" w:line="240" w:lineRule="auto"/>
      </w:pPr>
      <w:r>
        <w:t xml:space="preserve"> G.19-2B</w:t>
      </w:r>
      <w:r w:rsidR="00731D05">
        <w:t>.</w:t>
      </w:r>
      <w:r>
        <w:t>1a - Qualifications</w:t>
      </w:r>
    </w:p>
    <w:p w14:paraId="5ACADAF0" w14:textId="59B90D23" w:rsidR="00445A80" w:rsidRDefault="00445A80" w:rsidP="00B60410">
      <w:pPr>
        <w:pStyle w:val="ListParagraph"/>
        <w:numPr>
          <w:ilvl w:val="2"/>
          <w:numId w:val="1"/>
        </w:numPr>
        <w:spacing w:after="0" w:line="240" w:lineRule="auto"/>
      </w:pPr>
      <w:r>
        <w:t>G.19-2B</w:t>
      </w:r>
      <w:r w:rsidR="00731D05">
        <w:t>.</w:t>
      </w:r>
      <w:r>
        <w:t>1</w:t>
      </w:r>
      <w:r w:rsidR="009376D8">
        <w:t>b -Rights and Restrictions</w:t>
      </w:r>
    </w:p>
    <w:p w14:paraId="25C41CDB" w14:textId="77777777" w:rsidR="009376D8" w:rsidRPr="00B60410" w:rsidRDefault="009376D8" w:rsidP="009376D8">
      <w:pPr>
        <w:pStyle w:val="ListParagraph"/>
        <w:ind w:left="2160"/>
        <w:rPr>
          <w:sz w:val="16"/>
          <w:szCs w:val="16"/>
        </w:rPr>
      </w:pPr>
    </w:p>
    <w:p w14:paraId="701CD07C" w14:textId="62F79278" w:rsidR="00445A80" w:rsidRDefault="00445A80" w:rsidP="00B60410">
      <w:pPr>
        <w:pStyle w:val="ListParagraph"/>
        <w:numPr>
          <w:ilvl w:val="0"/>
          <w:numId w:val="1"/>
        </w:numPr>
        <w:spacing w:after="0" w:line="240" w:lineRule="auto"/>
      </w:pPr>
      <w:r>
        <w:t xml:space="preserve">Non-Voting/Non-Participating Teaching Elders </w:t>
      </w:r>
      <w:r w:rsidR="009376D8" w:rsidRPr="009376D8">
        <w:rPr>
          <w:color w:val="EE0000"/>
        </w:rPr>
        <w:t>*</w:t>
      </w:r>
      <w:r w:rsidRPr="009376D8">
        <w:rPr>
          <w:i/>
          <w:iCs/>
          <w:color w:val="EE0000"/>
        </w:rPr>
        <w:t>not able to serve as a commissioner</w:t>
      </w:r>
    </w:p>
    <w:p w14:paraId="27456A32" w14:textId="2B39EF9A" w:rsidR="00445A80" w:rsidRDefault="00445A80" w:rsidP="00B60410">
      <w:pPr>
        <w:pStyle w:val="ListParagraph"/>
        <w:numPr>
          <w:ilvl w:val="1"/>
          <w:numId w:val="1"/>
        </w:numPr>
        <w:spacing w:after="0" w:line="240" w:lineRule="auto"/>
      </w:pPr>
      <w:r>
        <w:t>Inactive Teaching Elders  (G.19-2B.2)</w:t>
      </w:r>
    </w:p>
    <w:p w14:paraId="50E6F312" w14:textId="68A9B265" w:rsidR="00445A80" w:rsidRDefault="00445A80" w:rsidP="00B60410">
      <w:pPr>
        <w:pStyle w:val="ListParagraph"/>
        <w:numPr>
          <w:ilvl w:val="1"/>
          <w:numId w:val="1"/>
        </w:numPr>
        <w:spacing w:after="0" w:line="240" w:lineRule="auto"/>
      </w:pPr>
      <w:r>
        <w:t>Inactive Retired Teaching Elders (G.19-2B.3)</w:t>
      </w:r>
    </w:p>
    <w:p w14:paraId="65A2615C" w14:textId="013C036F" w:rsidR="009376D8" w:rsidRDefault="009376D8" w:rsidP="00B60410">
      <w:pPr>
        <w:pStyle w:val="ListParagraph"/>
        <w:numPr>
          <w:ilvl w:val="2"/>
          <w:numId w:val="1"/>
        </w:numPr>
        <w:spacing w:after="0" w:line="240" w:lineRule="auto"/>
      </w:pPr>
      <w:r w:rsidRPr="009376D8">
        <w:t>G.14-3A -Status</w:t>
      </w:r>
    </w:p>
    <w:p w14:paraId="50747BC0" w14:textId="77777777" w:rsidR="00B60410" w:rsidRPr="009376D8" w:rsidRDefault="00B60410" w:rsidP="00B60410">
      <w:pPr>
        <w:pStyle w:val="ListParagraph"/>
        <w:spacing w:after="0" w:line="240" w:lineRule="auto"/>
        <w:ind w:left="2160"/>
      </w:pPr>
    </w:p>
    <w:p w14:paraId="1E92B567" w14:textId="645BFDE7" w:rsidR="009376D8" w:rsidRPr="00731D05" w:rsidRDefault="009376D8" w:rsidP="00B60410">
      <w:pPr>
        <w:spacing w:after="0" w:line="240" w:lineRule="auto"/>
        <w:rPr>
          <w:sz w:val="28"/>
          <w:szCs w:val="28"/>
        </w:rPr>
      </w:pPr>
      <w:r w:rsidRPr="00B60410">
        <w:rPr>
          <w:sz w:val="28"/>
          <w:szCs w:val="28"/>
          <w:u w:val="single"/>
        </w:rPr>
        <w:t>Ruling Elders</w:t>
      </w:r>
      <w:r w:rsidRPr="00731D05">
        <w:rPr>
          <w:sz w:val="28"/>
          <w:szCs w:val="28"/>
        </w:rPr>
        <w:t>:</w:t>
      </w:r>
    </w:p>
    <w:p w14:paraId="78951EE5" w14:textId="11A80B97" w:rsidR="0053720A" w:rsidRDefault="0053720A" w:rsidP="00B60410">
      <w:pPr>
        <w:pStyle w:val="ListParagraph"/>
        <w:numPr>
          <w:ilvl w:val="0"/>
          <w:numId w:val="3"/>
        </w:numPr>
        <w:spacing w:after="0" w:line="240" w:lineRule="auto"/>
      </w:pPr>
      <w:r>
        <w:t>G.20-2 -Membership of the General Assembly</w:t>
      </w:r>
    </w:p>
    <w:p w14:paraId="1D0F764F" w14:textId="30907F65" w:rsidR="0053720A" w:rsidRPr="0053720A" w:rsidRDefault="0053720A" w:rsidP="00B60410">
      <w:pPr>
        <w:spacing w:after="0" w:line="240" w:lineRule="auto"/>
        <w:ind w:left="1440"/>
        <w:rPr>
          <w:i/>
          <w:iCs/>
          <w:color w:val="EE0000"/>
        </w:rPr>
      </w:pPr>
      <w:r>
        <w:rPr>
          <w:i/>
          <w:iCs/>
          <w:color w:val="EE0000"/>
        </w:rPr>
        <w:t>“The basis of representation to the General Assembly shall be the same as representation to Presbytery</w:t>
      </w:r>
      <w:r w:rsidR="00731D05">
        <w:rPr>
          <w:i/>
          <w:iCs/>
          <w:color w:val="EE0000"/>
        </w:rPr>
        <w:t xml:space="preserve">.” </w:t>
      </w:r>
      <w:r>
        <w:rPr>
          <w:i/>
          <w:iCs/>
          <w:color w:val="EE0000"/>
        </w:rPr>
        <w:t xml:space="preserve"> (see G.19-2A)</w:t>
      </w:r>
    </w:p>
    <w:p w14:paraId="0375FD3A" w14:textId="52300E40" w:rsidR="009376D8" w:rsidRDefault="009376D8" w:rsidP="0053720A">
      <w:pPr>
        <w:pStyle w:val="ListParagraph"/>
        <w:numPr>
          <w:ilvl w:val="0"/>
          <w:numId w:val="3"/>
        </w:numPr>
      </w:pPr>
      <w:r>
        <w:t>G.19-2A.4a – Ruling Elders elected by each session.</w:t>
      </w:r>
    </w:p>
    <w:p w14:paraId="6787CBB7" w14:textId="4B8F1364" w:rsidR="0053720A" w:rsidRDefault="0053720A" w:rsidP="0053720A">
      <w:pPr>
        <w:pStyle w:val="ListParagraph"/>
        <w:ind w:left="1440"/>
        <w:rPr>
          <w:i/>
          <w:iCs/>
          <w:color w:val="EE0000"/>
        </w:rPr>
      </w:pPr>
      <w:r>
        <w:rPr>
          <w:i/>
          <w:iCs/>
          <w:color w:val="EE0000"/>
        </w:rPr>
        <w:t>“The Session shall elect two Ruling Elders for each Pastor, Associate</w:t>
      </w:r>
      <w:r w:rsidR="00315CAD">
        <w:rPr>
          <w:i/>
          <w:iCs/>
          <w:color w:val="EE0000"/>
        </w:rPr>
        <w:t xml:space="preserve"> Pastor</w:t>
      </w:r>
      <w:r>
        <w:rPr>
          <w:i/>
          <w:iCs/>
          <w:color w:val="EE0000"/>
        </w:rPr>
        <w:t xml:space="preserve">, and Assistant Pastor. </w:t>
      </w:r>
      <w:r w:rsidR="00315CAD">
        <w:rPr>
          <w:i/>
          <w:iCs/>
          <w:color w:val="EE0000"/>
        </w:rPr>
        <w:t>However a</w:t>
      </w:r>
      <w:r>
        <w:rPr>
          <w:i/>
          <w:iCs/>
          <w:color w:val="EE0000"/>
        </w:rPr>
        <w:t xml:space="preserve"> local church shall have no fewer than two Ruling Elders for each 500 members or a major portion thereof.</w:t>
      </w:r>
      <w:r w:rsidR="00731D05">
        <w:rPr>
          <w:i/>
          <w:iCs/>
          <w:color w:val="EE0000"/>
        </w:rPr>
        <w:t>“</w:t>
      </w:r>
    </w:p>
    <w:p w14:paraId="645A4499" w14:textId="77777777" w:rsidR="00315CAD" w:rsidRDefault="00315CAD" w:rsidP="0053720A">
      <w:pPr>
        <w:pStyle w:val="ListParagraph"/>
        <w:ind w:left="1440"/>
        <w:rPr>
          <w:i/>
          <w:iCs/>
          <w:color w:val="EE0000"/>
        </w:rPr>
      </w:pPr>
    </w:p>
    <w:p w14:paraId="296FE0E6" w14:textId="77777777" w:rsidR="001175DF" w:rsidRDefault="00315CAD" w:rsidP="0053720A">
      <w:pPr>
        <w:pStyle w:val="ListParagraph"/>
        <w:ind w:left="1440"/>
        <w:rPr>
          <w:i/>
          <w:iCs/>
          <w:color w:val="EE0000"/>
        </w:rPr>
      </w:pPr>
      <w:r>
        <w:rPr>
          <w:i/>
          <w:iCs/>
          <w:color w:val="EE0000"/>
        </w:rPr>
        <w:t>Churches with large membership and a large pastoral staff will calculate the number of Ruling Elders (2 for each Teaching Elder) and compare that number to the number of Ruling Elders for each 500 members.  The number of Ruling Elder Commissioners will be the larger of those two numbers.</w:t>
      </w:r>
    </w:p>
    <w:p w14:paraId="326BF1B3" w14:textId="77777777" w:rsidR="00F737B4" w:rsidRDefault="00F737B4" w:rsidP="0053720A">
      <w:pPr>
        <w:pStyle w:val="ListParagraph"/>
        <w:ind w:left="1440"/>
        <w:rPr>
          <w:i/>
          <w:iCs/>
          <w:color w:val="EE0000"/>
        </w:rPr>
      </w:pPr>
    </w:p>
    <w:p w14:paraId="6B41BCCF" w14:textId="2D046C90" w:rsidR="00302ACC" w:rsidRPr="00A81B2A" w:rsidRDefault="0042119A" w:rsidP="0053720A">
      <w:pPr>
        <w:pStyle w:val="ListParagraph"/>
        <w:numPr>
          <w:ilvl w:val="0"/>
          <w:numId w:val="3"/>
        </w:numPr>
        <w:rPr>
          <w:i/>
          <w:iCs/>
          <w:color w:val="EE0000"/>
        </w:rPr>
      </w:pPr>
      <w:r w:rsidRPr="00A81B2A">
        <w:t>G.19-2A</w:t>
      </w:r>
      <w:r w:rsidR="008D5DEA" w:rsidRPr="00A81B2A">
        <w:t xml:space="preserve">.4b </w:t>
      </w:r>
      <w:r w:rsidR="00A81B2A" w:rsidRPr="00A81B2A">
        <w:t>–</w:t>
      </w:r>
      <w:r w:rsidR="008D5DEA" w:rsidRPr="00A81B2A">
        <w:t xml:space="preserve"> </w:t>
      </w:r>
      <w:r w:rsidR="00A81B2A" w:rsidRPr="00A81B2A">
        <w:t>Disparity Correction</w:t>
      </w:r>
    </w:p>
    <w:p w14:paraId="3E3511E3" w14:textId="2DF66A86" w:rsidR="00C07434" w:rsidRDefault="00CF24D9" w:rsidP="0053720A">
      <w:pPr>
        <w:pStyle w:val="ListParagraph"/>
        <w:ind w:left="1440"/>
        <w:rPr>
          <w:i/>
          <w:iCs/>
          <w:color w:val="EE0000"/>
        </w:rPr>
      </w:pPr>
      <w:r>
        <w:rPr>
          <w:i/>
          <w:iCs/>
          <w:color w:val="EE0000"/>
        </w:rPr>
        <w:t xml:space="preserve">In addition to the </w:t>
      </w:r>
      <w:r w:rsidR="005A0E64">
        <w:rPr>
          <w:i/>
          <w:iCs/>
          <w:color w:val="EE0000"/>
        </w:rPr>
        <w:t>Ruling Elder Commissioner</w:t>
      </w:r>
      <w:r w:rsidR="00A840A4">
        <w:rPr>
          <w:i/>
          <w:iCs/>
          <w:color w:val="EE0000"/>
        </w:rPr>
        <w:t xml:space="preserve">s allowed by the formula above, </w:t>
      </w:r>
      <w:r w:rsidR="00F737B4">
        <w:rPr>
          <w:i/>
          <w:iCs/>
          <w:color w:val="EE0000"/>
        </w:rPr>
        <w:t>S</w:t>
      </w:r>
      <w:r w:rsidR="00FE6D52">
        <w:rPr>
          <w:i/>
          <w:iCs/>
          <w:color w:val="EE0000"/>
        </w:rPr>
        <w:t xml:space="preserve">essions </w:t>
      </w:r>
      <w:r w:rsidR="00A81B2A">
        <w:rPr>
          <w:i/>
          <w:iCs/>
          <w:color w:val="EE0000"/>
        </w:rPr>
        <w:t>are allowed to send additional Ruling Elders</w:t>
      </w:r>
      <w:r w:rsidR="00B82612">
        <w:rPr>
          <w:i/>
          <w:iCs/>
          <w:color w:val="EE0000"/>
        </w:rPr>
        <w:t xml:space="preserve"> according to the</w:t>
      </w:r>
      <w:r w:rsidR="005B3984">
        <w:rPr>
          <w:i/>
          <w:iCs/>
          <w:color w:val="EE0000"/>
        </w:rPr>
        <w:t>ir Presbytery</w:t>
      </w:r>
      <w:r w:rsidR="00B82612">
        <w:rPr>
          <w:i/>
          <w:iCs/>
          <w:color w:val="EE0000"/>
        </w:rPr>
        <w:t xml:space="preserve"> Parity Correction </w:t>
      </w:r>
      <w:r w:rsidR="00DE6E60">
        <w:rPr>
          <w:i/>
          <w:iCs/>
          <w:color w:val="EE0000"/>
        </w:rPr>
        <w:t xml:space="preserve">plan </w:t>
      </w:r>
      <w:r w:rsidR="00F737B4">
        <w:rPr>
          <w:i/>
          <w:iCs/>
          <w:color w:val="EE0000"/>
        </w:rPr>
        <w:t>for that year.</w:t>
      </w:r>
      <w:r w:rsidR="00DE6E60">
        <w:rPr>
          <w:i/>
          <w:iCs/>
          <w:color w:val="EE0000"/>
        </w:rPr>
        <w:t xml:space="preserve"> </w:t>
      </w:r>
      <w:r w:rsidR="00FE6D52">
        <w:rPr>
          <w:i/>
          <w:iCs/>
          <w:color w:val="EE0000"/>
        </w:rPr>
        <w:t xml:space="preserve"> </w:t>
      </w:r>
    </w:p>
    <w:p w14:paraId="3DBAF53A" w14:textId="77777777" w:rsidR="00302ACC" w:rsidRDefault="00302ACC" w:rsidP="0053720A">
      <w:pPr>
        <w:pStyle w:val="ListParagraph"/>
        <w:ind w:left="1440"/>
        <w:rPr>
          <w:i/>
          <w:iCs/>
          <w:color w:val="EE0000"/>
        </w:rPr>
      </w:pPr>
    </w:p>
    <w:p w14:paraId="769937C7" w14:textId="4413A70E" w:rsidR="00315CAD" w:rsidRDefault="00315CAD" w:rsidP="0053720A">
      <w:pPr>
        <w:pStyle w:val="ListParagraph"/>
        <w:ind w:left="1440"/>
        <w:rPr>
          <w:i/>
          <w:iCs/>
          <w:color w:val="EE0000"/>
        </w:rPr>
      </w:pPr>
      <w:r>
        <w:rPr>
          <w:i/>
          <w:iCs/>
          <w:color w:val="EE0000"/>
        </w:rPr>
        <w:t xml:space="preserve"> </w:t>
      </w:r>
    </w:p>
    <w:sectPr w:rsidR="00315CAD" w:rsidSect="00C074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7201"/>
    <w:multiLevelType w:val="hybridMultilevel"/>
    <w:tmpl w:val="9C84DC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1927DD6"/>
    <w:multiLevelType w:val="hybridMultilevel"/>
    <w:tmpl w:val="C1D81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F32AFA"/>
    <w:multiLevelType w:val="hybridMultilevel"/>
    <w:tmpl w:val="63507C66"/>
    <w:lvl w:ilvl="0" w:tplc="04090003">
      <w:start w:val="1"/>
      <w:numFmt w:val="bullet"/>
      <w:lvlText w:val="o"/>
      <w:lvlJc w:val="left"/>
      <w:pPr>
        <w:ind w:left="1440" w:hanging="360"/>
      </w:pPr>
      <w:rPr>
        <w:rFonts w:ascii="Courier New" w:hAnsi="Courier New" w:cs="Courier New" w:hint="default"/>
      </w:rPr>
    </w:lvl>
    <w:lvl w:ilvl="1" w:tplc="8C3A0182">
      <w:numFmt w:val="bullet"/>
      <w:lvlText w:val=""/>
      <w:lvlJc w:val="left"/>
      <w:pPr>
        <w:ind w:left="2160" w:hanging="360"/>
      </w:pPr>
      <w:rPr>
        <w:rFonts w:ascii="Wingdings" w:eastAsiaTheme="minorHAnsi" w:hAnsi="Wingdings" w:cs="Times New Roman"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1788983">
    <w:abstractNumId w:val="1"/>
  </w:num>
  <w:num w:numId="2" w16cid:durableId="1803496601">
    <w:abstractNumId w:val="0"/>
  </w:num>
  <w:num w:numId="3" w16cid:durableId="783117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E16"/>
    <w:rsid w:val="00092496"/>
    <w:rsid w:val="000C7376"/>
    <w:rsid w:val="000D0765"/>
    <w:rsid w:val="001175DF"/>
    <w:rsid w:val="00144ACA"/>
    <w:rsid w:val="00166664"/>
    <w:rsid w:val="00302ACC"/>
    <w:rsid w:val="00315CAD"/>
    <w:rsid w:val="0042119A"/>
    <w:rsid w:val="00445A80"/>
    <w:rsid w:val="004A519E"/>
    <w:rsid w:val="004E306D"/>
    <w:rsid w:val="0053720A"/>
    <w:rsid w:val="00597586"/>
    <w:rsid w:val="005A0E64"/>
    <w:rsid w:val="005B3984"/>
    <w:rsid w:val="006F13BF"/>
    <w:rsid w:val="00731D05"/>
    <w:rsid w:val="007F69CA"/>
    <w:rsid w:val="008777B8"/>
    <w:rsid w:val="008D5DEA"/>
    <w:rsid w:val="009219CD"/>
    <w:rsid w:val="009376D8"/>
    <w:rsid w:val="0098679E"/>
    <w:rsid w:val="009A7DF0"/>
    <w:rsid w:val="00A81B2A"/>
    <w:rsid w:val="00A840A4"/>
    <w:rsid w:val="00B60410"/>
    <w:rsid w:val="00B82612"/>
    <w:rsid w:val="00BB5160"/>
    <w:rsid w:val="00C06E16"/>
    <w:rsid w:val="00C07434"/>
    <w:rsid w:val="00C75DB2"/>
    <w:rsid w:val="00CD5A55"/>
    <w:rsid w:val="00CF24D9"/>
    <w:rsid w:val="00DE6E60"/>
    <w:rsid w:val="00E30996"/>
    <w:rsid w:val="00EF19F2"/>
    <w:rsid w:val="00F23E7B"/>
    <w:rsid w:val="00F737B4"/>
    <w:rsid w:val="00FE6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09F8"/>
  <w15:chartTrackingRefBased/>
  <w15:docId w15:val="{CB046129-6164-475C-9ED2-30F13F1E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E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E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E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E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E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E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E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E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E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E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E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E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E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E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E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E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E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E16"/>
    <w:rPr>
      <w:rFonts w:eastAsiaTheme="majorEastAsia" w:cstheme="majorBidi"/>
      <w:color w:val="272727" w:themeColor="text1" w:themeTint="D8"/>
    </w:rPr>
  </w:style>
  <w:style w:type="paragraph" w:styleId="Title">
    <w:name w:val="Title"/>
    <w:basedOn w:val="Normal"/>
    <w:next w:val="Normal"/>
    <w:link w:val="TitleChar"/>
    <w:uiPriority w:val="10"/>
    <w:qFormat/>
    <w:rsid w:val="00C06E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E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E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E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E16"/>
    <w:pPr>
      <w:spacing w:before="160"/>
      <w:jc w:val="center"/>
    </w:pPr>
    <w:rPr>
      <w:i/>
      <w:iCs/>
      <w:color w:val="404040" w:themeColor="text1" w:themeTint="BF"/>
    </w:rPr>
  </w:style>
  <w:style w:type="character" w:customStyle="1" w:styleId="QuoteChar">
    <w:name w:val="Quote Char"/>
    <w:basedOn w:val="DefaultParagraphFont"/>
    <w:link w:val="Quote"/>
    <w:uiPriority w:val="29"/>
    <w:rsid w:val="00C06E16"/>
    <w:rPr>
      <w:i/>
      <w:iCs/>
      <w:color w:val="404040" w:themeColor="text1" w:themeTint="BF"/>
    </w:rPr>
  </w:style>
  <w:style w:type="paragraph" w:styleId="ListParagraph">
    <w:name w:val="List Paragraph"/>
    <w:basedOn w:val="Normal"/>
    <w:uiPriority w:val="34"/>
    <w:qFormat/>
    <w:rsid w:val="00C06E16"/>
    <w:pPr>
      <w:ind w:left="720"/>
      <w:contextualSpacing/>
    </w:pPr>
  </w:style>
  <w:style w:type="character" w:styleId="IntenseEmphasis">
    <w:name w:val="Intense Emphasis"/>
    <w:basedOn w:val="DefaultParagraphFont"/>
    <w:uiPriority w:val="21"/>
    <w:qFormat/>
    <w:rsid w:val="00C06E16"/>
    <w:rPr>
      <w:i/>
      <w:iCs/>
      <w:color w:val="0F4761" w:themeColor="accent1" w:themeShade="BF"/>
    </w:rPr>
  </w:style>
  <w:style w:type="paragraph" w:styleId="IntenseQuote">
    <w:name w:val="Intense Quote"/>
    <w:basedOn w:val="Normal"/>
    <w:next w:val="Normal"/>
    <w:link w:val="IntenseQuoteChar"/>
    <w:uiPriority w:val="30"/>
    <w:qFormat/>
    <w:rsid w:val="00C06E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E16"/>
    <w:rPr>
      <w:i/>
      <w:iCs/>
      <w:color w:val="0F4761" w:themeColor="accent1" w:themeShade="BF"/>
    </w:rPr>
  </w:style>
  <w:style w:type="character" w:styleId="IntenseReference">
    <w:name w:val="Intense Reference"/>
    <w:basedOn w:val="DefaultParagraphFont"/>
    <w:uiPriority w:val="32"/>
    <w:qFormat/>
    <w:rsid w:val="00C06E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353</Words>
  <Characters>1875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Weaver</dc:creator>
  <cp:keywords/>
  <dc:description/>
  <cp:lastModifiedBy>Robert Garment</cp:lastModifiedBy>
  <cp:revision>19</cp:revision>
  <cp:lastPrinted>2026-03-26T15:39:00Z</cp:lastPrinted>
  <dcterms:created xsi:type="dcterms:W3CDTF">2026-03-26T19:36:00Z</dcterms:created>
  <dcterms:modified xsi:type="dcterms:W3CDTF">2026-04-14T21:55:00Z</dcterms:modified>
</cp:coreProperties>
</file>